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6F" w:rsidRDefault="00050531" w:rsidP="00050531">
      <w:r w:rsidRPr="00B44DEC">
        <w:t>PHYS 201</w:t>
      </w:r>
      <w:r w:rsidRPr="00B44DEC">
        <w:tab/>
      </w:r>
      <w:r>
        <w:t>SFQ</w:t>
      </w:r>
      <w:r w:rsidR="00093721">
        <w:t xml:space="preserve"> on Rot Dynamics </w:t>
      </w:r>
      <w:r>
        <w:t xml:space="preserve"> </w:t>
      </w:r>
      <w:r w:rsidRPr="00B44DEC">
        <w:tab/>
      </w:r>
      <w:r>
        <w:t xml:space="preserve">       </w:t>
      </w:r>
      <w:r w:rsidRPr="00B44DEC">
        <w:t>Name:___________________________</w:t>
      </w:r>
      <w:r w:rsidR="00093721">
        <w:br/>
      </w:r>
    </w:p>
    <w:tbl>
      <w:tblPr>
        <w:tblStyle w:val="TableGrid"/>
        <w:tblW w:w="10002" w:type="dxa"/>
        <w:tblInd w:w="-162" w:type="dxa"/>
        <w:tblLook w:val="04A0" w:firstRow="1" w:lastRow="0" w:firstColumn="1" w:lastColumn="0" w:noHBand="0" w:noVBand="1"/>
      </w:tblPr>
      <w:tblGrid>
        <w:gridCol w:w="1080"/>
        <w:gridCol w:w="1980"/>
        <w:gridCol w:w="1620"/>
        <w:gridCol w:w="1983"/>
        <w:gridCol w:w="1831"/>
        <w:gridCol w:w="1508"/>
      </w:tblGrid>
      <w:tr w:rsidR="00093721" w:rsidTr="00DF218B">
        <w:tc>
          <w:tcPr>
            <w:tcW w:w="1080" w:type="dxa"/>
          </w:tcPr>
          <w:p w:rsidR="00093721" w:rsidRDefault="00093721" w:rsidP="00510ACD">
            <w:pPr>
              <w:jc w:val="center"/>
            </w:pPr>
            <w:r>
              <w:t>1.</w:t>
            </w:r>
          </w:p>
        </w:tc>
        <w:tc>
          <w:tcPr>
            <w:tcW w:w="1980" w:type="dxa"/>
          </w:tcPr>
          <w:p w:rsidR="00093721" w:rsidRDefault="00093721" w:rsidP="00510ACD">
            <w:pPr>
              <w:jc w:val="center"/>
            </w:pPr>
            <w:r>
              <w:t>2.</w:t>
            </w:r>
          </w:p>
        </w:tc>
        <w:tc>
          <w:tcPr>
            <w:tcW w:w="1620" w:type="dxa"/>
          </w:tcPr>
          <w:p w:rsidR="00093721" w:rsidRDefault="00093721" w:rsidP="00510ACD">
            <w:pPr>
              <w:tabs>
                <w:tab w:val="center" w:pos="777"/>
              </w:tabs>
            </w:pPr>
            <w:r>
              <w:tab/>
              <w:t>3.</w:t>
            </w:r>
          </w:p>
        </w:tc>
        <w:tc>
          <w:tcPr>
            <w:tcW w:w="1983" w:type="dxa"/>
          </w:tcPr>
          <w:p w:rsidR="00093721" w:rsidRDefault="00093721" w:rsidP="00510ACD">
            <w:pPr>
              <w:jc w:val="center"/>
            </w:pPr>
            <w:r>
              <w:t>4.</w:t>
            </w:r>
          </w:p>
        </w:tc>
        <w:tc>
          <w:tcPr>
            <w:tcW w:w="1831" w:type="dxa"/>
          </w:tcPr>
          <w:p w:rsidR="00093721" w:rsidRDefault="00093721" w:rsidP="00510ACD">
            <w:pPr>
              <w:jc w:val="center"/>
            </w:pPr>
            <w:r>
              <w:t>5.</w:t>
            </w:r>
          </w:p>
        </w:tc>
        <w:tc>
          <w:tcPr>
            <w:tcW w:w="1508" w:type="dxa"/>
          </w:tcPr>
          <w:p w:rsidR="00093721" w:rsidRPr="009E0F84" w:rsidRDefault="00093721" w:rsidP="00510ACD">
            <w:pPr>
              <w:jc w:val="center"/>
              <w:rPr>
                <w:sz w:val="16"/>
                <w:szCs w:val="16"/>
              </w:rPr>
            </w:pPr>
            <w:r w:rsidRPr="009E0F84">
              <w:rPr>
                <w:sz w:val="16"/>
                <w:szCs w:val="16"/>
              </w:rPr>
              <w:t>Newton’s 2</w:t>
            </w:r>
            <w:r w:rsidRPr="009E0F84">
              <w:rPr>
                <w:sz w:val="16"/>
                <w:szCs w:val="16"/>
                <w:vertAlign w:val="superscript"/>
              </w:rPr>
              <w:t>nd</w:t>
            </w:r>
            <w:r w:rsidRPr="009E0F84">
              <w:rPr>
                <w:sz w:val="16"/>
                <w:szCs w:val="16"/>
              </w:rPr>
              <w:t xml:space="preserve"> Law</w:t>
            </w:r>
          </w:p>
        </w:tc>
      </w:tr>
      <w:tr w:rsidR="00093721" w:rsidTr="00DF218B">
        <w:tc>
          <w:tcPr>
            <w:tcW w:w="1080" w:type="dxa"/>
          </w:tcPr>
          <w:p w:rsidR="00093721" w:rsidRPr="00552B94" w:rsidRDefault="00093721" w:rsidP="00093721">
            <m:oMathPara>
              <m:oMath>
                <m:r>
                  <w:rPr>
                    <w:rFonts w:ascii="Cambria Math" w:hAnsi="Cambria Math"/>
                  </w:rPr>
                  <m:t>θ=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t</m:t>
                </m:r>
              </m:oMath>
            </m:oMathPara>
          </w:p>
        </w:tc>
        <w:tc>
          <w:tcPr>
            <w:tcW w:w="1980" w:type="dxa"/>
          </w:tcPr>
          <w:p w:rsidR="00093721" w:rsidRPr="00552B94" w:rsidRDefault="00093721" w:rsidP="00093721">
            <m:oMathPara>
              <m:oMath>
                <m:r>
                  <w:rPr>
                    <w:rFonts w:ascii="Cambria Math" w:hAnsi="Cambria Math"/>
                  </w:rPr>
                  <m:t>θ=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+ω</m:t>
                    </m:r>
                  </m:e>
                </m:d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1620" w:type="dxa"/>
          </w:tcPr>
          <w:p w:rsidR="00093721" w:rsidRPr="00552B94" w:rsidRDefault="00DF218B" w:rsidP="00DF218B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ω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+at</m:t>
                </m:r>
              </m:oMath>
            </m:oMathPara>
          </w:p>
        </w:tc>
        <w:tc>
          <w:tcPr>
            <w:tcW w:w="1983" w:type="dxa"/>
          </w:tcPr>
          <w:p w:rsidR="00093721" w:rsidRPr="00552B94" w:rsidRDefault="00DF218B" w:rsidP="00DF218B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θ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31" w:type="dxa"/>
          </w:tcPr>
          <w:p w:rsidR="00093721" w:rsidRPr="00552B94" w:rsidRDefault="00DF218B" w:rsidP="00510ACD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</w:rPr>
                  <m:t>α</m:t>
                </m:r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  <w:p w:rsidR="00093721" w:rsidRDefault="00093721" w:rsidP="00510ACD"/>
        </w:tc>
        <w:tc>
          <w:tcPr>
            <w:tcW w:w="1508" w:type="dxa"/>
          </w:tcPr>
          <w:p w:rsidR="00093721" w:rsidRPr="006D1EC5" w:rsidRDefault="00DF218B" w:rsidP="00093721"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</m:acc>
                  </m:e>
                </m:nary>
                <m:r>
                  <w:rPr>
                    <w:rFonts w:ascii="Cambria Math" w:hAnsi="Cambria Math"/>
                  </w:rPr>
                  <m:t>=I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acc>
              </m:oMath>
            </m:oMathPara>
          </w:p>
        </w:tc>
      </w:tr>
    </w:tbl>
    <w:p w:rsidR="00C13E6F" w:rsidRDefault="00093721" w:rsidP="00093721">
      <w:pPr>
        <w:rPr>
          <w:color w:val="000000"/>
        </w:rPr>
      </w:pPr>
      <w:r>
        <w:t xml:space="preserve">Force of friction: </w:t>
      </w:r>
      <w:r w:rsidRPr="00F44FCD">
        <w:rPr>
          <w:position w:val="-14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.75pt" o:ole="">
            <v:imagedata r:id="rId5" o:title=""/>
          </v:shape>
          <o:OLEObject Type="Embed" ProgID="Equation.3" ShapeID="_x0000_i1025" DrawAspect="Content" ObjectID="_1604227555" r:id="rId6"/>
        </w:object>
      </w:r>
      <w:r>
        <w:tab/>
      </w:r>
      <w:r w:rsidRPr="006F4CC6">
        <w:rPr>
          <w:rFonts w:eastAsia="Calibri"/>
          <w:sz w:val="28"/>
          <w:szCs w:val="28"/>
        </w:rPr>
        <w:t>torque = τ = LA·</w:t>
      </w:r>
      <w:r w:rsidRPr="006F4CC6">
        <w:rPr>
          <w:rFonts w:eastAsia="Calibri"/>
          <w:sz w:val="28"/>
          <w:szCs w:val="28"/>
          <w:vertAlign w:val="subscript"/>
        </w:rPr>
        <w:t xml:space="preserve"> </w:t>
      </w:r>
      <w:r w:rsidRPr="006F4CC6">
        <w:rPr>
          <w:rFonts w:eastAsia="Calibri"/>
          <w:sz w:val="28"/>
          <w:szCs w:val="28"/>
        </w:rPr>
        <w:t>F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6F4CC6">
        <w:rPr>
          <w:rFonts w:eastAsia="Calibri"/>
          <w:position w:val="-14"/>
          <w:sz w:val="28"/>
          <w:szCs w:val="28"/>
        </w:rPr>
        <w:object w:dxaOrig="1200" w:dyaOrig="420">
          <v:shape id="_x0000_i1026" type="#_x0000_t75" style="width:75pt;height:26.25pt" o:ole="">
            <v:imagedata r:id="rId7" o:title=""/>
          </v:shape>
          <o:OLEObject Type="Embed" ProgID="Equation.3" ShapeID="_x0000_i1026" DrawAspect="Content" ObjectID="_1604227556" r:id="rId8"/>
        </w:object>
      </w:r>
    </w:p>
    <w:p w:rsidR="00050531" w:rsidRPr="00B44DEC" w:rsidRDefault="00050531" w:rsidP="00050531">
      <w:pPr>
        <w:pStyle w:val="NormalWeb"/>
        <w:rPr>
          <w:color w:val="000000"/>
        </w:rPr>
      </w:pPr>
      <w:r w:rsidRPr="00B44DEC">
        <w:rPr>
          <w:color w:val="000000"/>
        </w:rPr>
        <w:t>A stationary bicycle is raised off the ground, and its front wheel (</w:t>
      </w:r>
      <w:r w:rsidRPr="00B44DEC">
        <w:rPr>
          <w:i/>
          <w:iCs/>
          <w:color w:val="000000"/>
        </w:rPr>
        <w:t>m</w:t>
      </w:r>
      <w:r>
        <w:rPr>
          <w:noProof/>
          <w:color w:val="000000"/>
        </w:rPr>
        <w:drawing>
          <wp:inline distT="0" distB="0" distL="0" distR="0" wp14:anchorId="111EFD01" wp14:editId="6CDCC2C3">
            <wp:extent cx="28575" cy="9525"/>
            <wp:effectExtent l="0" t="0" r="0" b="0"/>
            <wp:docPr id="2" name="Picture 2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x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DEC">
        <w:rPr>
          <w:color w:val="000000"/>
        </w:rPr>
        <w:t>=</w:t>
      </w:r>
      <w:r>
        <w:rPr>
          <w:noProof/>
          <w:color w:val="000000"/>
        </w:rPr>
        <w:drawing>
          <wp:inline distT="0" distB="0" distL="0" distR="0" wp14:anchorId="6C28A3E7" wp14:editId="6E24D8DD">
            <wp:extent cx="28575" cy="9525"/>
            <wp:effectExtent l="0" t="0" r="0" b="0"/>
            <wp:docPr id="3" name="Picture 3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DEC">
        <w:rPr>
          <w:color w:val="000000"/>
        </w:rPr>
        <w:t>1.3 kg) is rotating at an</w:t>
      </w:r>
      <w:r>
        <w:rPr>
          <w:color w:val="000000"/>
        </w:rPr>
        <w:t xml:space="preserve"> angular velocity</w:t>
      </w:r>
      <w:r w:rsidRPr="00B44DEC">
        <w:rPr>
          <w:color w:val="000000"/>
        </w:rPr>
        <w:t xml:space="preserve"> of 13.1 rad/s (see the drawing). The front brake is then applied for 3.0 s, and the wheel slows down to 3.7 rad/s. Assume that all the</w:t>
      </w:r>
      <w:r>
        <w:rPr>
          <w:color w:val="000000"/>
        </w:rPr>
        <w:t xml:space="preserve"> mass </w:t>
      </w:r>
      <w:r w:rsidRPr="00B44DEC">
        <w:rPr>
          <w:color w:val="000000"/>
        </w:rPr>
        <w:t xml:space="preserve">of the wheel is concentrated in the rim, the radius of which is 0.33 m. The coefficient of kinetic </w:t>
      </w:r>
      <w:r>
        <w:rPr>
          <w:color w:val="000000"/>
        </w:rPr>
        <w:t xml:space="preserve">friction </w:t>
      </w:r>
      <w:r w:rsidRPr="00B44DEC">
        <w:rPr>
          <w:color w:val="000000"/>
        </w:rPr>
        <w:t xml:space="preserve">between each brake pad and the rim is </w:t>
      </w:r>
      <w:proofErr w:type="spellStart"/>
      <w:r>
        <w:rPr>
          <w:color w:val="000000"/>
        </w:rPr>
        <w:t>μ</w:t>
      </w:r>
      <w:r w:rsidRPr="00B44DEC">
        <w:rPr>
          <w:color w:val="000000"/>
          <w:vertAlign w:val="subscript"/>
        </w:rPr>
        <w:t>k</w:t>
      </w:r>
      <w:proofErr w:type="spellEnd"/>
      <w:r>
        <w:rPr>
          <w:noProof/>
          <w:color w:val="000000"/>
        </w:rPr>
        <w:drawing>
          <wp:inline distT="0" distB="0" distL="0" distR="0" wp14:anchorId="16A0918C" wp14:editId="28FC53B2">
            <wp:extent cx="28575" cy="9525"/>
            <wp:effectExtent l="0" t="0" r="0" b="0"/>
            <wp:docPr id="4" name="Picture 4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x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DEC">
        <w:rPr>
          <w:color w:val="000000"/>
        </w:rPr>
        <w:t>=</w:t>
      </w:r>
      <w:r>
        <w:rPr>
          <w:noProof/>
          <w:color w:val="000000"/>
        </w:rPr>
        <w:drawing>
          <wp:inline distT="0" distB="0" distL="0" distR="0" wp14:anchorId="7323911A" wp14:editId="3682908D">
            <wp:extent cx="28575" cy="9525"/>
            <wp:effectExtent l="0" t="0" r="0" b="0"/>
            <wp:docPr id="5" name="Picture 5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x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DEC">
        <w:rPr>
          <w:color w:val="000000"/>
        </w:rPr>
        <w:t xml:space="preserve">0.85. What is the magnitude of the </w:t>
      </w:r>
      <w:r>
        <w:rPr>
          <w:color w:val="000000"/>
        </w:rPr>
        <w:t xml:space="preserve">normal force </w:t>
      </w:r>
      <w:r w:rsidRPr="00B44DEC">
        <w:rPr>
          <w:color w:val="000000"/>
        </w:rPr>
        <w:t xml:space="preserve">that </w:t>
      </w:r>
      <w:r w:rsidRPr="00B44DEC">
        <w:rPr>
          <w:i/>
          <w:iCs/>
          <w:color w:val="000000"/>
        </w:rPr>
        <w:t>each</w:t>
      </w:r>
      <w:r w:rsidRPr="00B44DEC">
        <w:rPr>
          <w:color w:val="000000"/>
        </w:rPr>
        <w:t xml:space="preserve"> brake pad applies to the rim?</w:t>
      </w:r>
    </w:p>
    <w:tbl>
      <w:tblPr>
        <w:tblW w:w="0" w:type="auto"/>
        <w:tblCellSpacing w:w="37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7978"/>
      </w:tblGrid>
      <w:tr w:rsidR="00050531" w:rsidRPr="00B44DEC" w:rsidTr="0044401D">
        <w:trPr>
          <w:tblCellSpacing w:w="37" w:type="dxa"/>
        </w:trPr>
        <w:tc>
          <w:tcPr>
            <w:tcW w:w="0" w:type="auto"/>
            <w:shd w:val="clear" w:color="auto" w:fill="auto"/>
            <w:vAlign w:val="center"/>
          </w:tcPr>
          <w:p w:rsidR="00050531" w:rsidRPr="00B44DEC" w:rsidRDefault="00050531" w:rsidP="0044401D">
            <w:pPr>
              <w:rPr>
                <w:color w:val="000000"/>
              </w:rPr>
            </w:pPr>
            <w:bookmarkStart w:id="0" w:name="c09-gra-0032"/>
            <w:bookmarkEnd w:id="0"/>
            <w:r>
              <w:rPr>
                <w:color w:val="000000"/>
              </w:rPr>
              <w:t xml:space="preserve">    </w:t>
            </w:r>
            <w:bookmarkStart w:id="1" w:name="_GoBack"/>
            <w:bookmarkEnd w:id="1"/>
            <w:r>
              <w:rPr>
                <w:color w:val="000000"/>
              </w:rPr>
              <w:t xml:space="preserve">                                                                                             </w:t>
            </w:r>
            <w:r>
              <w:rPr>
                <w:noProof/>
                <w:color w:val="000000"/>
              </w:rPr>
              <w:drawing>
                <wp:inline distT="0" distB="0" distL="0" distR="0" wp14:anchorId="77536F38" wp14:editId="56DEA2B7">
                  <wp:extent cx="1076325" cy="2028825"/>
                  <wp:effectExtent l="0" t="0" r="9525" b="9525"/>
                  <wp:docPr id="6" name="Picture 6" descr="c09/nw0365-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09/nw0365-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1AA" w:rsidRDefault="00DF218B" w:rsidP="00050531"/>
    <w:sectPr w:rsidR="00E841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31"/>
    <w:rsid w:val="00050531"/>
    <w:rsid w:val="00093721"/>
    <w:rsid w:val="004B3CF5"/>
    <w:rsid w:val="00C13E6F"/>
    <w:rsid w:val="00DF218B"/>
    <w:rsid w:val="00E7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05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93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05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93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Maheswaranathan, Ponn</dc:creator>
  <cp:lastModifiedBy>Maheswaranathan, Ponn</cp:lastModifiedBy>
  <cp:revision>4</cp:revision>
  <cp:lastPrinted>2018-11-20T15:20:00Z</cp:lastPrinted>
  <dcterms:created xsi:type="dcterms:W3CDTF">2018-11-20T15:38:00Z</dcterms:created>
  <dcterms:modified xsi:type="dcterms:W3CDTF">2018-11-20T18:59:00Z</dcterms:modified>
</cp:coreProperties>
</file>